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007D11CD" w:rsidR="00370778" w:rsidRPr="004C4310" w:rsidRDefault="00370778" w:rsidP="00370778">
      <w:pPr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920A11D" wp14:editId="62CD54A4">
            <wp:extent cx="2667000" cy="393497"/>
            <wp:effectExtent l="0" t="0" r="0" b="6985"/>
            <wp:docPr id="29442951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9055" cy="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349F" w14:textId="1453F347" w:rsidR="00AB231D" w:rsidRPr="004C4310" w:rsidRDefault="004A779A" w:rsidP="004C4310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4C4310">
        <w:rPr>
          <w:rFonts w:ascii="Calibri" w:hAnsi="Calibri" w:cs="Calibri"/>
          <w:b/>
          <w:bCs/>
          <w:sz w:val="20"/>
          <w:szCs w:val="20"/>
        </w:rPr>
        <w:t>Magnesium Citrate Instructions</w:t>
      </w:r>
    </w:p>
    <w:p w14:paraId="656F5882" w14:textId="53ED5155" w:rsidR="00AB231D" w:rsidRPr="004C4310" w:rsidRDefault="00AB231D" w:rsidP="00AB231D">
      <w:pPr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IMPORTANT:</w:t>
      </w:r>
    </w:p>
    <w:p w14:paraId="37B1707F" w14:textId="77777777" w:rsidR="00793D1F" w:rsidRPr="004C4310" w:rsidRDefault="00793D1F" w:rsidP="00793D1F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STOP </w:t>
      </w:r>
      <w:proofErr w:type="spellStart"/>
      <w:r w:rsidRPr="004C4310">
        <w:rPr>
          <w:rFonts w:ascii="Calibri" w:hAnsi="Calibri" w:cs="Calibri"/>
          <w:sz w:val="18"/>
          <w:szCs w:val="18"/>
        </w:rPr>
        <w:t>Phenteramine</w:t>
      </w:r>
      <w:proofErr w:type="spellEnd"/>
      <w:r w:rsidRPr="004C4310">
        <w:rPr>
          <w:rFonts w:ascii="Calibri" w:hAnsi="Calibri" w:cs="Calibri"/>
          <w:sz w:val="18"/>
          <w:szCs w:val="18"/>
        </w:rPr>
        <w:t xml:space="preserve"> and other weight reduction medications (including injections</w:t>
      </w:r>
      <w:r>
        <w:rPr>
          <w:rFonts w:ascii="Calibri" w:hAnsi="Calibri" w:cs="Calibri"/>
          <w:sz w:val="18"/>
          <w:szCs w:val="18"/>
        </w:rPr>
        <w:t xml:space="preserve"> such as </w:t>
      </w:r>
      <w:proofErr w:type="spellStart"/>
      <w:r>
        <w:rPr>
          <w:rFonts w:ascii="Calibri" w:hAnsi="Calibri" w:cs="Calibri"/>
          <w:sz w:val="18"/>
          <w:szCs w:val="18"/>
        </w:rPr>
        <w:t>Wegovy</w:t>
      </w:r>
      <w:proofErr w:type="spellEnd"/>
      <w:r>
        <w:rPr>
          <w:rFonts w:ascii="Calibri" w:hAnsi="Calibri" w:cs="Calibri"/>
          <w:sz w:val="18"/>
          <w:szCs w:val="18"/>
        </w:rPr>
        <w:t xml:space="preserve">, Ozempic, and </w:t>
      </w:r>
      <w:proofErr w:type="spellStart"/>
      <w:r>
        <w:rPr>
          <w:rFonts w:ascii="Calibri" w:hAnsi="Calibri" w:cs="Calibri"/>
          <w:sz w:val="18"/>
          <w:szCs w:val="18"/>
        </w:rPr>
        <w:t>Mounjaro</w:t>
      </w:r>
      <w:proofErr w:type="spellEnd"/>
      <w:r w:rsidRPr="004C4310">
        <w:rPr>
          <w:rFonts w:ascii="Calibri" w:hAnsi="Calibri" w:cs="Calibri"/>
          <w:sz w:val="18"/>
          <w:szCs w:val="18"/>
        </w:rPr>
        <w:t>) 2 weeks before your procedure.</w:t>
      </w:r>
    </w:p>
    <w:p w14:paraId="2D3577C1" w14:textId="77777777" w:rsidR="00793D1F" w:rsidRDefault="00793D1F" w:rsidP="00793D1F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STOP iron tablets 1 week before your procedure.</w:t>
      </w:r>
    </w:p>
    <w:p w14:paraId="773FE2C1" w14:textId="77777777" w:rsidR="00793D1F" w:rsidRPr="004C4310" w:rsidRDefault="00793D1F" w:rsidP="00793D1F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You must notify the office of all prescriptions you are taking.  Patients with diabetes or heart disease may need specific instructions.</w:t>
      </w:r>
    </w:p>
    <w:p w14:paraId="68EAF66E" w14:textId="77777777" w:rsidR="00793D1F" w:rsidRPr="003B6B4D" w:rsidRDefault="00793D1F" w:rsidP="00793D1F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It is critical that you notify </w:t>
      </w:r>
      <w:r>
        <w:rPr>
          <w:rFonts w:ascii="Calibri" w:hAnsi="Calibri" w:cs="Calibri"/>
          <w:sz w:val="18"/>
          <w:szCs w:val="18"/>
        </w:rPr>
        <w:t xml:space="preserve">our office as soon as possible </w:t>
      </w:r>
      <w:r w:rsidRPr="004C4310">
        <w:rPr>
          <w:rFonts w:ascii="Calibri" w:hAnsi="Calibri" w:cs="Calibri"/>
          <w:sz w:val="18"/>
          <w:szCs w:val="18"/>
        </w:rPr>
        <w:t>if you take</w:t>
      </w:r>
      <w:r>
        <w:rPr>
          <w:rFonts w:ascii="Calibri" w:hAnsi="Calibri" w:cs="Calibri"/>
          <w:sz w:val="18"/>
          <w:szCs w:val="18"/>
        </w:rPr>
        <w:t xml:space="preserve"> any blood thinners such as</w:t>
      </w:r>
      <w:r w:rsidRPr="004C4310">
        <w:rPr>
          <w:rFonts w:ascii="Calibri" w:hAnsi="Calibri" w:cs="Calibri"/>
          <w:sz w:val="18"/>
          <w:szCs w:val="18"/>
        </w:rPr>
        <w:t xml:space="preserve"> </w:t>
      </w:r>
      <w:r w:rsidRPr="004C4310">
        <w:rPr>
          <w:rFonts w:ascii="Calibri" w:hAnsi="Calibri" w:cs="Calibri"/>
          <w:b/>
          <w:bCs/>
          <w:sz w:val="18"/>
          <w:szCs w:val="18"/>
        </w:rPr>
        <w:t xml:space="preserve">Aspirin, Plavix, Coumadin (Warfarin), </w:t>
      </w:r>
      <w:proofErr w:type="spellStart"/>
      <w:r w:rsidRPr="004C4310">
        <w:rPr>
          <w:rFonts w:ascii="Calibri" w:hAnsi="Calibri" w:cs="Calibri"/>
          <w:b/>
          <w:bCs/>
          <w:sz w:val="18"/>
          <w:szCs w:val="18"/>
        </w:rPr>
        <w:t>Effient</w:t>
      </w:r>
      <w:proofErr w:type="spellEnd"/>
      <w:r w:rsidRPr="004C4310">
        <w:rPr>
          <w:rFonts w:ascii="Calibri" w:hAnsi="Calibri" w:cs="Calibri"/>
          <w:b/>
          <w:bCs/>
          <w:sz w:val="18"/>
          <w:szCs w:val="18"/>
        </w:rPr>
        <w:t xml:space="preserve">, Pradaxa, Eliquis, or </w:t>
      </w:r>
      <w:proofErr w:type="spellStart"/>
      <w:r w:rsidRPr="004C4310">
        <w:rPr>
          <w:rFonts w:ascii="Calibri" w:hAnsi="Calibri" w:cs="Calibri"/>
          <w:b/>
          <w:bCs/>
          <w:sz w:val="18"/>
          <w:szCs w:val="18"/>
        </w:rPr>
        <w:t>Brilinta</w:t>
      </w:r>
      <w:proofErr w:type="spellEnd"/>
      <w:r w:rsidRPr="004C4310">
        <w:rPr>
          <w:rFonts w:ascii="Calibri" w:hAnsi="Calibri" w:cs="Calibri"/>
          <w:b/>
          <w:bCs/>
          <w:sz w:val="18"/>
          <w:szCs w:val="18"/>
        </w:rPr>
        <w:t>.</w:t>
      </w:r>
      <w:r>
        <w:rPr>
          <w:rFonts w:ascii="Calibri" w:hAnsi="Calibri" w:cs="Calibri"/>
          <w:b/>
          <w:bCs/>
          <w:sz w:val="18"/>
          <w:szCs w:val="18"/>
        </w:rPr>
        <w:t xml:space="preserve">  </w:t>
      </w:r>
    </w:p>
    <w:p w14:paraId="18FCBE98" w14:textId="77777777" w:rsidR="00793D1F" w:rsidRDefault="00793D1F" w:rsidP="00793D1F">
      <w:pPr>
        <w:pStyle w:val="ListParagraph"/>
        <w:spacing w:after="0"/>
        <w:rPr>
          <w:rFonts w:ascii="Calibri" w:hAnsi="Calibri" w:cs="Calibri"/>
          <w:b/>
          <w:bCs/>
          <w:color w:val="FF0000"/>
          <w:sz w:val="18"/>
          <w:szCs w:val="18"/>
        </w:rPr>
      </w:pPr>
    </w:p>
    <w:p w14:paraId="33287E86" w14:textId="77777777" w:rsidR="00793D1F" w:rsidRPr="003B6B4D" w:rsidRDefault="00793D1F" w:rsidP="00793D1F">
      <w:pPr>
        <w:pStyle w:val="ListParagraph"/>
        <w:spacing w:after="0"/>
        <w:jc w:val="center"/>
        <w:rPr>
          <w:rFonts w:ascii="Calibri" w:hAnsi="Calibri" w:cs="Calibri"/>
          <w:sz w:val="18"/>
          <w:szCs w:val="18"/>
        </w:rPr>
      </w:pPr>
      <w:r w:rsidRPr="003B6B4D">
        <w:rPr>
          <w:rFonts w:ascii="Calibri" w:hAnsi="Calibri" w:cs="Calibri"/>
          <w:b/>
          <w:bCs/>
          <w:color w:val="FF0000"/>
          <w:sz w:val="22"/>
          <w:szCs w:val="22"/>
        </w:rPr>
        <w:t>Failure to follow these directions may result in your procedure being rescheduled.</w:t>
      </w:r>
    </w:p>
    <w:p w14:paraId="338AA216" w14:textId="77777777" w:rsidR="00793D1F" w:rsidRPr="004C4310" w:rsidRDefault="00793D1F" w:rsidP="00793D1F">
      <w:pPr>
        <w:spacing w:after="0"/>
        <w:rPr>
          <w:rFonts w:ascii="Calibri" w:hAnsi="Calibri" w:cs="Calibri"/>
          <w:sz w:val="18"/>
          <w:szCs w:val="18"/>
        </w:rPr>
      </w:pPr>
    </w:p>
    <w:p w14:paraId="687903CD" w14:textId="77777777" w:rsidR="00793D1F" w:rsidRPr="004C4310" w:rsidRDefault="00793D1F" w:rsidP="00793D1F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REMEMBER:</w:t>
      </w:r>
    </w:p>
    <w:p w14:paraId="0593B933" w14:textId="77777777" w:rsidR="00793D1F" w:rsidRPr="004C4310" w:rsidRDefault="00793D1F" w:rsidP="00793D1F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EAT:  Raw fruits, nuts, vegetables, or fiber supplements 3 days before your procedure.</w:t>
      </w:r>
    </w:p>
    <w:p w14:paraId="0F349852" w14:textId="77777777" w:rsidR="00793D1F" w:rsidRPr="004C4310" w:rsidRDefault="00793D1F" w:rsidP="00793D1F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NOT: Chew gum or have hard candy the day of your procedure.</w:t>
      </w:r>
    </w:p>
    <w:p w14:paraId="6FC43D81" w14:textId="77777777" w:rsidR="00793D1F" w:rsidRPr="004C4310" w:rsidRDefault="00793D1F" w:rsidP="00793D1F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smoke</w:t>
      </w:r>
      <w:r>
        <w:rPr>
          <w:rFonts w:ascii="Calibri" w:hAnsi="Calibri" w:cs="Calibri"/>
          <w:sz w:val="18"/>
          <w:szCs w:val="18"/>
        </w:rPr>
        <w:t xml:space="preserve"> (vaping, tobacco, marijuana, or illicit drugs)</w:t>
      </w:r>
      <w:r w:rsidRPr="004C4310">
        <w:rPr>
          <w:rFonts w:ascii="Calibri" w:hAnsi="Calibri" w:cs="Calibri"/>
          <w:sz w:val="18"/>
          <w:szCs w:val="18"/>
        </w:rPr>
        <w:t xml:space="preserve"> on the day of your procedure.</w:t>
      </w:r>
    </w:p>
    <w:p w14:paraId="56787526" w14:textId="77777777" w:rsidR="00793D1F" w:rsidRPr="004C4310" w:rsidRDefault="00793D1F" w:rsidP="00793D1F">
      <w:pPr>
        <w:spacing w:after="0"/>
        <w:rPr>
          <w:rFonts w:ascii="Calibri" w:hAnsi="Calibri" w:cs="Calibri"/>
          <w:sz w:val="18"/>
          <w:szCs w:val="18"/>
        </w:rPr>
      </w:pPr>
    </w:p>
    <w:p w14:paraId="6633133C" w14:textId="77777777" w:rsidR="00793D1F" w:rsidRPr="004C4310" w:rsidRDefault="00793D1F" w:rsidP="00793D1F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 xml:space="preserve">DAY BEFORE THE COLONOSCOPY: </w:t>
      </w:r>
    </w:p>
    <w:p w14:paraId="5075DC3B" w14:textId="77777777" w:rsidR="00793D1F" w:rsidRPr="004C4310" w:rsidRDefault="00793D1F" w:rsidP="00793D1F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You are to have only </w:t>
      </w:r>
      <w:r w:rsidRPr="004C4310">
        <w:rPr>
          <w:rFonts w:ascii="Calibri" w:hAnsi="Calibri" w:cs="Calibri"/>
          <w:b/>
          <w:bCs/>
          <w:sz w:val="18"/>
          <w:szCs w:val="18"/>
        </w:rPr>
        <w:t>CLEAR LIQUIDS</w:t>
      </w:r>
      <w:r w:rsidRPr="004C4310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avoiding </w:t>
      </w:r>
      <w:r w:rsidRPr="004C4310">
        <w:rPr>
          <w:rFonts w:ascii="Calibri" w:hAnsi="Calibri" w:cs="Calibri"/>
          <w:b/>
          <w:bCs/>
          <w:sz w:val="18"/>
          <w:szCs w:val="18"/>
        </w:rPr>
        <w:t xml:space="preserve">RED OR PURPLE </w:t>
      </w:r>
      <w:r>
        <w:rPr>
          <w:rFonts w:ascii="Calibri" w:hAnsi="Calibri" w:cs="Calibri"/>
          <w:b/>
          <w:bCs/>
          <w:sz w:val="18"/>
          <w:szCs w:val="18"/>
        </w:rPr>
        <w:t>LIQUIDS</w:t>
      </w:r>
      <w:r w:rsidRPr="004C4310">
        <w:rPr>
          <w:rFonts w:ascii="Calibri" w:hAnsi="Calibri" w:cs="Calibri"/>
          <w:sz w:val="18"/>
          <w:szCs w:val="18"/>
        </w:rPr>
        <w:t xml:space="preserve">.  Clear liquids include </w:t>
      </w:r>
      <w:r>
        <w:rPr>
          <w:rFonts w:ascii="Calibri" w:hAnsi="Calibri" w:cs="Calibri"/>
          <w:sz w:val="18"/>
          <w:szCs w:val="18"/>
        </w:rPr>
        <w:t>j</w:t>
      </w:r>
      <w:r w:rsidRPr="004C4310">
        <w:rPr>
          <w:rFonts w:ascii="Calibri" w:hAnsi="Calibri" w:cs="Calibri"/>
          <w:sz w:val="18"/>
          <w:szCs w:val="18"/>
        </w:rPr>
        <w:t>uices without pulp, water, broth, black coffee, black tea, and Gatorade.</w:t>
      </w:r>
    </w:p>
    <w:p w14:paraId="548EB1CD" w14:textId="77777777" w:rsidR="00793D1F" w:rsidRPr="004C4310" w:rsidRDefault="00793D1F" w:rsidP="00793D1F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You may have Jell-O, soda (7-Up, Sprite, Starry, Ginger Ale), and popsicles so long as they are not colored red or purple.</w:t>
      </w:r>
    </w:p>
    <w:p w14:paraId="0147F4AC" w14:textId="77777777" w:rsidR="00793D1F" w:rsidRPr="004C4310" w:rsidRDefault="00793D1F" w:rsidP="00793D1F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consume solid foods, milk, or milk products.</w:t>
      </w:r>
    </w:p>
    <w:p w14:paraId="25349DDD" w14:textId="77777777" w:rsidR="004A779A" w:rsidRPr="004C4310" w:rsidRDefault="004A779A" w:rsidP="004A779A">
      <w:pPr>
        <w:spacing w:after="0"/>
        <w:rPr>
          <w:rFonts w:ascii="Calibri" w:hAnsi="Calibri" w:cs="Calibri"/>
          <w:sz w:val="18"/>
          <w:szCs w:val="18"/>
        </w:rPr>
      </w:pPr>
    </w:p>
    <w:p w14:paraId="6C250473" w14:textId="2CE2FEB7" w:rsidR="004A779A" w:rsidRPr="004C4310" w:rsidRDefault="004A779A" w:rsidP="004A779A">
      <w:pPr>
        <w:spacing w:after="0"/>
        <w:ind w:firstLine="36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MAGNESIUM CITRATE INSTRUCTIONS</w:t>
      </w:r>
    </w:p>
    <w:p w14:paraId="44716A6A" w14:textId="6E858747" w:rsidR="004A779A" w:rsidRPr="004C4310" w:rsidRDefault="004A779A" w:rsidP="00BD01E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You should sip the Magnesium Citrate slowly, over an hour.  It is much easier to drink chilled and it can be flavored with </w:t>
      </w:r>
      <w:r w:rsidR="005F57FE" w:rsidRPr="004C4310">
        <w:rPr>
          <w:rFonts w:ascii="Calibri" w:hAnsi="Calibri" w:cs="Calibri"/>
          <w:sz w:val="18"/>
          <w:szCs w:val="18"/>
        </w:rPr>
        <w:t xml:space="preserve">any CLEAR liquid such as </w:t>
      </w:r>
      <w:r w:rsidRPr="004C4310">
        <w:rPr>
          <w:rFonts w:ascii="Calibri" w:hAnsi="Calibri" w:cs="Calibri"/>
          <w:sz w:val="18"/>
          <w:szCs w:val="18"/>
        </w:rPr>
        <w:t xml:space="preserve">Crystal Light, Kool-Aid, or </w:t>
      </w:r>
      <w:r w:rsidR="00117957" w:rsidRPr="004C4310">
        <w:rPr>
          <w:rFonts w:ascii="Calibri" w:hAnsi="Calibri" w:cs="Calibri"/>
          <w:sz w:val="18"/>
          <w:szCs w:val="18"/>
        </w:rPr>
        <w:t xml:space="preserve">Ginger Ale </w:t>
      </w:r>
      <w:r w:rsidR="005F57FE" w:rsidRPr="004C4310">
        <w:rPr>
          <w:rFonts w:ascii="Calibri" w:hAnsi="Calibri" w:cs="Calibri"/>
          <w:sz w:val="18"/>
          <w:szCs w:val="18"/>
        </w:rPr>
        <w:t>as long as it is</w:t>
      </w:r>
      <w:r w:rsidR="00117957" w:rsidRPr="004C4310">
        <w:rPr>
          <w:rFonts w:ascii="Calibri" w:hAnsi="Calibri" w:cs="Calibri"/>
          <w:sz w:val="18"/>
          <w:szCs w:val="18"/>
        </w:rPr>
        <w:t xml:space="preserve"> </w:t>
      </w:r>
      <w:r w:rsidR="00117957" w:rsidRPr="004C4310">
        <w:rPr>
          <w:rFonts w:ascii="Calibri" w:hAnsi="Calibri" w:cs="Calibri"/>
          <w:b/>
          <w:bCs/>
          <w:sz w:val="18"/>
          <w:szCs w:val="18"/>
        </w:rPr>
        <w:t>NOT RED OR PURPLE</w:t>
      </w:r>
      <w:r w:rsidR="005F57FE" w:rsidRPr="004C4310">
        <w:rPr>
          <w:rFonts w:ascii="Calibri" w:hAnsi="Calibri" w:cs="Calibri"/>
          <w:sz w:val="18"/>
          <w:szCs w:val="18"/>
        </w:rPr>
        <w:t>.</w:t>
      </w:r>
    </w:p>
    <w:p w14:paraId="0D449C21" w14:textId="2D23896D" w:rsidR="005F57FE" w:rsidRPr="004C4310" w:rsidRDefault="005F57FE" w:rsidP="00BD01E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5:00 PM – Take 1 Dulcolax tablet and drink the first bottle of Magnesium Citrate between 5:00 PM – 6:00 PM.</w:t>
      </w:r>
    </w:p>
    <w:p w14:paraId="2AF17E90" w14:textId="1AE32BC3" w:rsidR="005F57FE" w:rsidRPr="004C4310" w:rsidRDefault="005F57FE" w:rsidP="00BD01E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6:00 PM – Take 1 Dulcolax tablet and drink the second bottle of Magnesium Citrate between 6:00 PM – 7:00 PM. </w:t>
      </w:r>
    </w:p>
    <w:p w14:paraId="1B8B67AF" w14:textId="5A31E4CF" w:rsidR="005F57FE" w:rsidRPr="004C4310" w:rsidRDefault="005F57FE" w:rsidP="00BD01E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7:00 PM – Take 1 Dulcolax tablet.</w:t>
      </w:r>
    </w:p>
    <w:p w14:paraId="3F72F9FC" w14:textId="76C5E501" w:rsidR="005F57FE" w:rsidRPr="004C4310" w:rsidRDefault="005F57FE" w:rsidP="005F57FE">
      <w:pPr>
        <w:spacing w:after="0"/>
        <w:ind w:left="36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**NOTE** - You may take longer than one hour to drink each bottle.  Do not rush yourself.</w:t>
      </w:r>
    </w:p>
    <w:p w14:paraId="4147888B" w14:textId="77777777" w:rsidR="00752737" w:rsidRPr="004C4310" w:rsidRDefault="00752737" w:rsidP="005F57FE">
      <w:pPr>
        <w:spacing w:after="0"/>
        <w:ind w:left="360"/>
        <w:rPr>
          <w:rFonts w:ascii="Calibri" w:hAnsi="Calibri" w:cs="Calibri"/>
          <w:sz w:val="18"/>
          <w:szCs w:val="18"/>
        </w:rPr>
      </w:pPr>
    </w:p>
    <w:p w14:paraId="243DEC0E" w14:textId="6EC75201" w:rsidR="004A779A" w:rsidRPr="004C4310" w:rsidRDefault="005F57FE" w:rsidP="004A779A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These laxatives may cause bloating, nausea, or vomiting, and may take up to 8 hours to work.  The stools will be liquid</w:t>
      </w:r>
      <w:r w:rsidR="00752737" w:rsidRPr="004C4310">
        <w:rPr>
          <w:rFonts w:ascii="Calibri" w:hAnsi="Calibri" w:cs="Calibri"/>
          <w:sz w:val="18"/>
          <w:szCs w:val="18"/>
        </w:rPr>
        <w:t xml:space="preserve"> with </w:t>
      </w:r>
      <w:r w:rsidR="00CE2383">
        <w:rPr>
          <w:rFonts w:ascii="Calibri" w:hAnsi="Calibri" w:cs="Calibri"/>
          <w:sz w:val="18"/>
          <w:szCs w:val="18"/>
        </w:rPr>
        <w:t xml:space="preserve">a </w:t>
      </w:r>
      <w:r w:rsidR="00752737" w:rsidRPr="004C4310">
        <w:rPr>
          <w:rFonts w:ascii="Calibri" w:hAnsi="Calibri" w:cs="Calibri"/>
          <w:sz w:val="18"/>
          <w:szCs w:val="18"/>
        </w:rPr>
        <w:t>slight</w:t>
      </w:r>
      <w:r w:rsidR="00CE2383">
        <w:rPr>
          <w:rFonts w:ascii="Calibri" w:hAnsi="Calibri" w:cs="Calibri"/>
          <w:sz w:val="18"/>
          <w:szCs w:val="18"/>
        </w:rPr>
        <w:t xml:space="preserve"> yellow</w:t>
      </w:r>
      <w:r w:rsidR="00752737" w:rsidRPr="004C4310">
        <w:rPr>
          <w:rFonts w:ascii="Calibri" w:hAnsi="Calibri" w:cs="Calibri"/>
          <w:sz w:val="18"/>
          <w:szCs w:val="18"/>
        </w:rPr>
        <w:t xml:space="preserve"> color by the end of your preparation period</w:t>
      </w:r>
      <w:r w:rsidR="00CE2383">
        <w:rPr>
          <w:rFonts w:ascii="Calibri" w:hAnsi="Calibri" w:cs="Calibri"/>
          <w:sz w:val="18"/>
          <w:szCs w:val="18"/>
        </w:rPr>
        <w:t xml:space="preserve"> if your colon is clean</w:t>
      </w:r>
      <w:r w:rsidR="00752737" w:rsidRPr="004C4310">
        <w:rPr>
          <w:rFonts w:ascii="Calibri" w:hAnsi="Calibri" w:cs="Calibri"/>
          <w:sz w:val="18"/>
          <w:szCs w:val="18"/>
        </w:rPr>
        <w:t xml:space="preserve">. </w:t>
      </w:r>
    </w:p>
    <w:p w14:paraId="0ADA3471" w14:textId="77777777" w:rsidR="004A779A" w:rsidRPr="004C4310" w:rsidRDefault="004A779A" w:rsidP="004B5903">
      <w:pPr>
        <w:spacing w:after="0"/>
        <w:rPr>
          <w:rFonts w:ascii="Calibri" w:hAnsi="Calibri" w:cs="Calibri"/>
          <w:b/>
          <w:bCs/>
          <w:sz w:val="18"/>
          <w:szCs w:val="18"/>
        </w:rPr>
      </w:pPr>
    </w:p>
    <w:p w14:paraId="52DBD97C" w14:textId="227C050B" w:rsidR="004B5903" w:rsidRPr="004C4310" w:rsidRDefault="004B5903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DAY OF THE PROCEDURE:</w:t>
      </w:r>
    </w:p>
    <w:p w14:paraId="3DFE70BE" w14:textId="77777777" w:rsidR="00793D1F" w:rsidRPr="004C4310" w:rsidRDefault="00793D1F" w:rsidP="00793D1F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</w:rPr>
      </w:pPr>
      <w:r w:rsidRPr="00CC5F47">
        <w:rPr>
          <w:rFonts w:ascii="Calibri" w:hAnsi="Calibri" w:cs="Calibri"/>
          <w:b/>
          <w:bCs/>
          <w:sz w:val="18"/>
          <w:szCs w:val="18"/>
        </w:rPr>
        <w:t>You may not eat or drink anything</w:t>
      </w:r>
      <w:r>
        <w:rPr>
          <w:rFonts w:ascii="Calibri" w:hAnsi="Calibri" w:cs="Calibri"/>
          <w:sz w:val="18"/>
          <w:szCs w:val="18"/>
        </w:rPr>
        <w:t>.</w:t>
      </w:r>
    </w:p>
    <w:p w14:paraId="6537F42D" w14:textId="77777777" w:rsidR="00793D1F" w:rsidRPr="004C4310" w:rsidRDefault="00793D1F" w:rsidP="00793D1F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If you are on blood pressure medications, </w:t>
      </w:r>
      <w:r>
        <w:rPr>
          <w:rFonts w:ascii="Calibri" w:hAnsi="Calibri" w:cs="Calibri"/>
          <w:sz w:val="18"/>
          <w:szCs w:val="18"/>
        </w:rPr>
        <w:t>seizure, anxiety, or chronic pain medications, take as directed with a small sip of water.</w:t>
      </w:r>
    </w:p>
    <w:p w14:paraId="2E9F434E" w14:textId="77777777" w:rsidR="00793D1F" w:rsidRPr="004C4310" w:rsidRDefault="00793D1F" w:rsidP="00793D1F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Do </w:t>
      </w:r>
      <w:r>
        <w:rPr>
          <w:rFonts w:ascii="Calibri" w:hAnsi="Calibri" w:cs="Calibri"/>
          <w:b/>
          <w:bCs/>
          <w:sz w:val="18"/>
          <w:szCs w:val="18"/>
        </w:rPr>
        <w:t>NOT</w:t>
      </w:r>
      <w:r w:rsidRPr="004C4310">
        <w:rPr>
          <w:rFonts w:ascii="Calibri" w:hAnsi="Calibri" w:cs="Calibri"/>
          <w:sz w:val="18"/>
          <w:szCs w:val="18"/>
        </w:rPr>
        <w:t xml:space="preserve"> take diabetes pills.</w:t>
      </w:r>
    </w:p>
    <w:p w14:paraId="2EE5E2D3" w14:textId="77777777" w:rsidR="00793D1F" w:rsidRPr="004C4310" w:rsidRDefault="00793D1F" w:rsidP="00793D1F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are on insulin, decrease your dose by 1/2 .</w:t>
      </w:r>
    </w:p>
    <w:p w14:paraId="443B8A2D" w14:textId="77777777" w:rsidR="00793D1F" w:rsidRPr="004C4310" w:rsidRDefault="00793D1F" w:rsidP="00793D1F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experience vomiting, please contact the office or the on-call physician.</w:t>
      </w:r>
    </w:p>
    <w:p w14:paraId="3B30ABCD" w14:textId="77777777" w:rsidR="00793D1F" w:rsidRPr="004C4310" w:rsidRDefault="00793D1F" w:rsidP="00793D1F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use inhalers, bring them with you to the EndoCentre.</w:t>
      </w:r>
    </w:p>
    <w:p w14:paraId="295A6552" w14:textId="77777777" w:rsidR="0033516D" w:rsidRPr="004C4310" w:rsidRDefault="0033516D" w:rsidP="0033516D">
      <w:pPr>
        <w:spacing w:after="0"/>
        <w:rPr>
          <w:rFonts w:ascii="Calibri" w:hAnsi="Calibri" w:cs="Calibri"/>
          <w:sz w:val="18"/>
          <w:szCs w:val="18"/>
        </w:rPr>
      </w:pPr>
    </w:p>
    <w:p w14:paraId="02D92F27" w14:textId="18FBBB98" w:rsidR="0033516D" w:rsidRPr="004C4310" w:rsidRDefault="0033516D" w:rsidP="0033516D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**Reminder**</w:t>
      </w:r>
      <w:r w:rsidRPr="004C4310">
        <w:rPr>
          <w:rFonts w:ascii="Calibri" w:hAnsi="Calibri" w:cs="Calibri"/>
          <w:sz w:val="18"/>
          <w:szCs w:val="18"/>
        </w:rPr>
        <w:t xml:space="preserve"> You MUST have someone drive you home given you will receive intravenous medication that makes you drowsy.</w:t>
      </w:r>
    </w:p>
    <w:p w14:paraId="79477FAF" w14:textId="77777777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</w:p>
    <w:p w14:paraId="0A5227C6" w14:textId="5B4EC980" w:rsidR="00B60BAD" w:rsidRPr="004C4310" w:rsidRDefault="00B60BAD" w:rsidP="00B60BAD">
      <w:pPr>
        <w:spacing w:after="0"/>
        <w:jc w:val="center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Please call us immediately if you have any questions or concerns.</w:t>
      </w:r>
    </w:p>
    <w:p w14:paraId="7DA68311" w14:textId="77777777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</w:p>
    <w:p w14:paraId="55EF0A3E" w14:textId="77777777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</w:p>
    <w:p w14:paraId="56797627" w14:textId="21BE606A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EndoCentre of Baltimore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 xml:space="preserve">EndoCentre at </w:t>
      </w:r>
      <w:proofErr w:type="spellStart"/>
      <w:r w:rsidRPr="004C4310">
        <w:rPr>
          <w:rFonts w:ascii="Calibri" w:hAnsi="Calibri" w:cs="Calibri"/>
          <w:sz w:val="18"/>
          <w:szCs w:val="18"/>
        </w:rPr>
        <w:t>Quarterfield</w:t>
      </w:r>
      <w:proofErr w:type="spellEnd"/>
      <w:r w:rsidRPr="004C4310">
        <w:rPr>
          <w:rFonts w:ascii="Calibri" w:hAnsi="Calibri" w:cs="Calibri"/>
          <w:sz w:val="18"/>
          <w:szCs w:val="18"/>
        </w:rPr>
        <w:t xml:space="preserve"> Station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EndoCentre of Westminster</w:t>
      </w:r>
    </w:p>
    <w:p w14:paraId="5F2ECE7E" w14:textId="1F8585CC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1838 Greene Tree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 xml:space="preserve">7704 </w:t>
      </w:r>
      <w:proofErr w:type="spellStart"/>
      <w:r w:rsidRPr="004C4310">
        <w:rPr>
          <w:rFonts w:ascii="Calibri" w:hAnsi="Calibri" w:cs="Calibri"/>
          <w:sz w:val="18"/>
          <w:szCs w:val="18"/>
        </w:rPr>
        <w:t>Quarterfield</w:t>
      </w:r>
      <w:proofErr w:type="spellEnd"/>
      <w:r w:rsidRPr="004C4310">
        <w:rPr>
          <w:rFonts w:ascii="Calibri" w:hAnsi="Calibri" w:cs="Calibri"/>
          <w:sz w:val="18"/>
          <w:szCs w:val="18"/>
        </w:rPr>
        <w:t xml:space="preserve">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535 Old Westminster Pike</w:t>
      </w:r>
    </w:p>
    <w:p w14:paraId="127DBC7F" w14:textId="606A9AEE" w:rsidR="00B60BAD" w:rsidRPr="004C4310" w:rsidRDefault="00B60BAD" w:rsidP="00B60BAD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4C4310">
        <w:rPr>
          <w:rFonts w:ascii="Calibri" w:hAnsi="Calibri" w:cs="Calibri"/>
          <w:sz w:val="18"/>
          <w:szCs w:val="18"/>
          <w:lang w:val="fr-FR"/>
        </w:rPr>
        <w:t>Suite 180</w:t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>Suite A</w:t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  <w:t>Suite 104</w:t>
      </w:r>
    </w:p>
    <w:p w14:paraId="48BEB410" w14:textId="74C682A9" w:rsidR="00B60BAD" w:rsidRPr="00BD01ED" w:rsidRDefault="00B60BAD" w:rsidP="004B5903">
      <w:pPr>
        <w:spacing w:after="0"/>
        <w:rPr>
          <w:rFonts w:ascii="Calibri" w:hAnsi="Calibri" w:cs="Calibri"/>
          <w:sz w:val="18"/>
          <w:szCs w:val="18"/>
          <w:lang w:val="fr-FR"/>
        </w:rPr>
      </w:pPr>
      <w:proofErr w:type="spellStart"/>
      <w:r w:rsidRPr="00BD01ED">
        <w:rPr>
          <w:rFonts w:ascii="Calibri" w:hAnsi="Calibri" w:cs="Calibri"/>
          <w:sz w:val="18"/>
          <w:szCs w:val="18"/>
          <w:lang w:val="fr-FR"/>
        </w:rPr>
        <w:t>Pikesville</w:t>
      </w:r>
      <w:proofErr w:type="spellEnd"/>
      <w:r w:rsidRPr="00BD01ED">
        <w:rPr>
          <w:rFonts w:ascii="Calibri" w:hAnsi="Calibri" w:cs="Calibri"/>
          <w:sz w:val="18"/>
          <w:szCs w:val="18"/>
          <w:lang w:val="fr-FR"/>
        </w:rPr>
        <w:t>, MD 21208</w:t>
      </w:r>
      <w:r w:rsidRPr="00BD01ED">
        <w:rPr>
          <w:rFonts w:ascii="Calibri" w:hAnsi="Calibri" w:cs="Calibri"/>
          <w:sz w:val="18"/>
          <w:szCs w:val="18"/>
          <w:lang w:val="fr-FR"/>
        </w:rPr>
        <w:tab/>
      </w:r>
      <w:r w:rsidRPr="00BD01ED">
        <w:rPr>
          <w:rFonts w:ascii="Calibri" w:hAnsi="Calibri" w:cs="Calibri"/>
          <w:sz w:val="18"/>
          <w:szCs w:val="18"/>
          <w:lang w:val="fr-FR"/>
        </w:rPr>
        <w:tab/>
      </w:r>
      <w:r w:rsidR="004C4310" w:rsidRPr="00BD01ED">
        <w:rPr>
          <w:rFonts w:ascii="Calibri" w:hAnsi="Calibri" w:cs="Calibri"/>
          <w:sz w:val="18"/>
          <w:szCs w:val="18"/>
          <w:lang w:val="fr-FR"/>
        </w:rPr>
        <w:tab/>
      </w:r>
      <w:r w:rsidRPr="00BD01ED">
        <w:rPr>
          <w:rFonts w:ascii="Calibri" w:hAnsi="Calibri" w:cs="Calibri"/>
          <w:sz w:val="18"/>
          <w:szCs w:val="18"/>
          <w:lang w:val="fr-FR"/>
        </w:rPr>
        <w:t xml:space="preserve">Glen </w:t>
      </w:r>
      <w:proofErr w:type="spellStart"/>
      <w:r w:rsidRPr="00BD01ED">
        <w:rPr>
          <w:rFonts w:ascii="Calibri" w:hAnsi="Calibri" w:cs="Calibri"/>
          <w:sz w:val="18"/>
          <w:szCs w:val="18"/>
          <w:lang w:val="fr-FR"/>
        </w:rPr>
        <w:t>Burnie</w:t>
      </w:r>
      <w:proofErr w:type="spellEnd"/>
      <w:r w:rsidRPr="00BD01ED">
        <w:rPr>
          <w:rFonts w:ascii="Calibri" w:hAnsi="Calibri" w:cs="Calibri"/>
          <w:sz w:val="18"/>
          <w:szCs w:val="18"/>
          <w:lang w:val="fr-FR"/>
        </w:rPr>
        <w:t>, MD 21061</w:t>
      </w:r>
      <w:r w:rsidRPr="00BD01ED">
        <w:rPr>
          <w:rFonts w:ascii="Calibri" w:hAnsi="Calibri" w:cs="Calibri"/>
          <w:sz w:val="18"/>
          <w:szCs w:val="18"/>
          <w:lang w:val="fr-FR"/>
        </w:rPr>
        <w:tab/>
      </w:r>
      <w:r w:rsidRPr="00BD01ED">
        <w:rPr>
          <w:rFonts w:ascii="Calibri" w:hAnsi="Calibri" w:cs="Calibri"/>
          <w:sz w:val="18"/>
          <w:szCs w:val="18"/>
          <w:lang w:val="fr-FR"/>
        </w:rPr>
        <w:tab/>
      </w:r>
      <w:r w:rsidRPr="00BD01ED">
        <w:rPr>
          <w:rFonts w:ascii="Calibri" w:hAnsi="Calibri" w:cs="Calibri"/>
          <w:sz w:val="18"/>
          <w:szCs w:val="18"/>
          <w:lang w:val="fr-FR"/>
        </w:rPr>
        <w:tab/>
        <w:t>Westminster, MD 21157</w:t>
      </w:r>
    </w:p>
    <w:p w14:paraId="0AA27D17" w14:textId="7E8F844D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Phone: 410-602-7782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Phone: 410-863-4899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Phone: 410-876-8332</w:t>
      </w:r>
    </w:p>
    <w:sectPr w:rsidR="00B60BAD" w:rsidRPr="004C4310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1B9"/>
    <w:multiLevelType w:val="hybridMultilevel"/>
    <w:tmpl w:val="E774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6F13"/>
    <w:multiLevelType w:val="hybridMultilevel"/>
    <w:tmpl w:val="1A5C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201E"/>
    <w:multiLevelType w:val="hybridMultilevel"/>
    <w:tmpl w:val="75D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54AEF"/>
    <w:multiLevelType w:val="hybridMultilevel"/>
    <w:tmpl w:val="521E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06F1"/>
    <w:multiLevelType w:val="hybridMultilevel"/>
    <w:tmpl w:val="2AF8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A6D76"/>
    <w:multiLevelType w:val="hybridMultilevel"/>
    <w:tmpl w:val="DDAC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C2EBA"/>
    <w:multiLevelType w:val="hybridMultilevel"/>
    <w:tmpl w:val="C524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67253"/>
    <w:multiLevelType w:val="hybridMultilevel"/>
    <w:tmpl w:val="231E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67FBE"/>
    <w:multiLevelType w:val="hybridMultilevel"/>
    <w:tmpl w:val="6D78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932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97D8E"/>
    <w:multiLevelType w:val="hybridMultilevel"/>
    <w:tmpl w:val="303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34048"/>
    <w:multiLevelType w:val="hybridMultilevel"/>
    <w:tmpl w:val="2E68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12"/>
  </w:num>
  <w:num w:numId="2" w16cid:durableId="644286057">
    <w:abstractNumId w:val="6"/>
  </w:num>
  <w:num w:numId="3" w16cid:durableId="2030907539">
    <w:abstractNumId w:val="10"/>
  </w:num>
  <w:num w:numId="4" w16cid:durableId="712731395">
    <w:abstractNumId w:val="3"/>
  </w:num>
  <w:num w:numId="5" w16cid:durableId="1977755573">
    <w:abstractNumId w:val="4"/>
  </w:num>
  <w:num w:numId="6" w16cid:durableId="2136365011">
    <w:abstractNumId w:val="8"/>
  </w:num>
  <w:num w:numId="7" w16cid:durableId="565913651">
    <w:abstractNumId w:val="5"/>
  </w:num>
  <w:num w:numId="8" w16cid:durableId="401758833">
    <w:abstractNumId w:val="0"/>
  </w:num>
  <w:num w:numId="9" w16cid:durableId="1421826334">
    <w:abstractNumId w:val="14"/>
  </w:num>
  <w:num w:numId="10" w16cid:durableId="1123615639">
    <w:abstractNumId w:val="7"/>
  </w:num>
  <w:num w:numId="11" w16cid:durableId="1849129461">
    <w:abstractNumId w:val="1"/>
  </w:num>
  <w:num w:numId="12" w16cid:durableId="1653102947">
    <w:abstractNumId w:val="11"/>
  </w:num>
  <w:num w:numId="13" w16cid:durableId="1308779274">
    <w:abstractNumId w:val="2"/>
  </w:num>
  <w:num w:numId="14" w16cid:durableId="345597238">
    <w:abstractNumId w:val="13"/>
  </w:num>
  <w:num w:numId="15" w16cid:durableId="17306128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117957"/>
    <w:rsid w:val="00266DC1"/>
    <w:rsid w:val="0033516D"/>
    <w:rsid w:val="00370778"/>
    <w:rsid w:val="00406C36"/>
    <w:rsid w:val="0045456E"/>
    <w:rsid w:val="004A779A"/>
    <w:rsid w:val="004B5903"/>
    <w:rsid w:val="004C4310"/>
    <w:rsid w:val="005F57FE"/>
    <w:rsid w:val="00752737"/>
    <w:rsid w:val="00793D1F"/>
    <w:rsid w:val="008E4C8A"/>
    <w:rsid w:val="00932CDE"/>
    <w:rsid w:val="00AB231D"/>
    <w:rsid w:val="00B60BAD"/>
    <w:rsid w:val="00BD01ED"/>
    <w:rsid w:val="00C03045"/>
    <w:rsid w:val="00C903A1"/>
    <w:rsid w:val="00CE2383"/>
    <w:rsid w:val="00F13F90"/>
    <w:rsid w:val="00F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10</cp:revision>
  <dcterms:created xsi:type="dcterms:W3CDTF">2024-07-10T16:27:00Z</dcterms:created>
  <dcterms:modified xsi:type="dcterms:W3CDTF">2024-07-16T16:02:00Z</dcterms:modified>
</cp:coreProperties>
</file>