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022740FE" w:rsidR="00370778" w:rsidRPr="004C4310" w:rsidRDefault="00370778" w:rsidP="00370778">
      <w:pPr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920A11D" wp14:editId="62CD54A4">
            <wp:extent cx="2667000" cy="393497"/>
            <wp:effectExtent l="0" t="0" r="0" b="6985"/>
            <wp:docPr id="294429511" name="Picture 1" descr="Un logotipo azul y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9055" cy="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349F" w14:textId="5E1381CA" w:rsidR="00AB231D" w:rsidRPr="003608AD" w:rsidRDefault="009C087D" w:rsidP="004C4310">
      <w:pPr>
        <w:jc w:val="center"/>
        <w:rPr>
          <w:rFonts w:ascii="Calibri" w:hAnsi="Calibri" w:cs="Calibri"/>
          <w:b/>
          <w:bCs/>
          <w:sz w:val="20"/>
          <w:szCs w:val="20"/>
          <w:lang w:val="es-ES"/>
        </w:rPr>
      </w:pPr>
      <w:r w:rsidRPr="003608AD">
        <w:rPr>
          <w:rFonts w:ascii="Calibri" w:hAnsi="Calibri" w:cs="Calibri"/>
          <w:b/>
          <w:bCs/>
          <w:sz w:val="20"/>
          <w:szCs w:val="20"/>
          <w:lang w:val="es-ES"/>
        </w:rPr>
        <w:t>Instrucciones de Miralax y Gatorade</w:t>
      </w:r>
    </w:p>
    <w:p w14:paraId="656F5882" w14:textId="53ED5155" w:rsidR="00AB231D" w:rsidRPr="003608AD" w:rsidRDefault="00AB231D" w:rsidP="00AB231D">
      <w:pPr>
        <w:rPr>
          <w:rFonts w:ascii="Calibri" w:hAnsi="Calibri" w:cs="Calibri"/>
          <w:b/>
          <w:bCs/>
          <w:sz w:val="18"/>
          <w:szCs w:val="18"/>
          <w:lang w:val="es-ES"/>
        </w:rPr>
      </w:pP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>IMPORTANTE:</w:t>
      </w:r>
    </w:p>
    <w:p w14:paraId="4176C40D" w14:textId="0B566DA3" w:rsidR="00B56785" w:rsidRPr="003608AD" w:rsidRDefault="00B56785" w:rsidP="00B5678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 xml:space="preserve">STOP La fenteramina y otros medicamentos para bajar de peso (incluyendo inyecciones como Wegovy, Ozempic y Mounjaro) </w:t>
      </w:r>
      <w:r w:rsidR="000A7237">
        <w:rPr>
          <w:rFonts w:ascii="Calibri" w:hAnsi="Calibri" w:cs="Calibri"/>
          <w:sz w:val="18"/>
          <w:szCs w:val="18"/>
          <w:lang w:val="es-ES"/>
        </w:rPr>
        <w:t>1</w:t>
      </w:r>
      <w:r w:rsidRPr="003608AD">
        <w:rPr>
          <w:rFonts w:ascii="Calibri" w:hAnsi="Calibri" w:cs="Calibri"/>
          <w:sz w:val="18"/>
          <w:szCs w:val="18"/>
          <w:lang w:val="es-ES"/>
        </w:rPr>
        <w:t xml:space="preserve"> semanas antes de su procedimiento.</w:t>
      </w:r>
    </w:p>
    <w:p w14:paraId="044BF7E0" w14:textId="77777777" w:rsidR="00B56785" w:rsidRPr="003608AD" w:rsidRDefault="00B56785" w:rsidP="00B5678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STOP tabletas de hierro 1 semana antes de su procedimiento.</w:t>
      </w:r>
    </w:p>
    <w:p w14:paraId="7170F4FC" w14:textId="77777777" w:rsidR="00B56785" w:rsidRPr="003608AD" w:rsidRDefault="00B56785" w:rsidP="00B5678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Debe notificar a la oficina de todos los medicamentos recetados que está tomando.  Los pacientes con diabetes o enfermedad cardíaca pueden necesitar instrucciones específicas.</w:t>
      </w:r>
    </w:p>
    <w:p w14:paraId="1573529F" w14:textId="77777777" w:rsidR="00B56785" w:rsidRPr="003608AD" w:rsidRDefault="00B56785" w:rsidP="00B56785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 xml:space="preserve">Es fundamental que notifique a nuestra oficina lo antes posible si toma anticoagulantes como </w:t>
      </w: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 xml:space="preserve">Aspirina, Plavix, Coumadin (warfarina), Effient, Pradaxa, Eliquis o Brilinta.  </w:t>
      </w:r>
    </w:p>
    <w:p w14:paraId="043566F8" w14:textId="77777777" w:rsidR="00B56785" w:rsidRPr="003608AD" w:rsidRDefault="00B56785" w:rsidP="00B56785">
      <w:pPr>
        <w:pStyle w:val="ListParagraph"/>
        <w:spacing w:after="0"/>
        <w:rPr>
          <w:rFonts w:ascii="Calibri" w:hAnsi="Calibri" w:cs="Calibri"/>
          <w:b/>
          <w:bCs/>
          <w:color w:val="FF0000"/>
          <w:sz w:val="18"/>
          <w:szCs w:val="18"/>
          <w:lang w:val="es-ES"/>
        </w:rPr>
      </w:pPr>
    </w:p>
    <w:p w14:paraId="0FBBFD55" w14:textId="77777777" w:rsidR="00B56785" w:rsidRPr="003608AD" w:rsidRDefault="00B56785" w:rsidP="00B56785">
      <w:pPr>
        <w:pStyle w:val="ListParagraph"/>
        <w:spacing w:after="0"/>
        <w:jc w:val="center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b/>
          <w:bCs/>
          <w:color w:val="FF0000"/>
          <w:sz w:val="22"/>
          <w:szCs w:val="22"/>
          <w:lang w:val="es-ES"/>
        </w:rPr>
        <w:t>El incumplimiento de estas instrucciones puede resultar en la reprogramación de su procedimiento.</w:t>
      </w:r>
    </w:p>
    <w:p w14:paraId="39F25310" w14:textId="77777777" w:rsidR="00B56785" w:rsidRPr="003608AD" w:rsidRDefault="00B56785" w:rsidP="00B56785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20695499" w14:textId="77777777" w:rsidR="00B56785" w:rsidRPr="004C4310" w:rsidRDefault="00B56785" w:rsidP="00B56785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RECORDAR:</w:t>
      </w:r>
    </w:p>
    <w:p w14:paraId="03DF2583" w14:textId="77777777" w:rsidR="00B56785" w:rsidRPr="003608AD" w:rsidRDefault="00B56785" w:rsidP="00B56785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NO COMA: Frutas crudas, nueces, verduras o suplementos de fibra 3 días antes de su procedimiento.</w:t>
      </w:r>
    </w:p>
    <w:p w14:paraId="22AEC159" w14:textId="77777777" w:rsidR="00B56785" w:rsidRPr="003608AD" w:rsidRDefault="00B56785" w:rsidP="00B56785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NO: Mastique chicle o coma caramelos duros el día de su procedimiento.</w:t>
      </w:r>
    </w:p>
    <w:p w14:paraId="253C33FF" w14:textId="77777777" w:rsidR="00B56785" w:rsidRPr="003608AD" w:rsidRDefault="00B56785" w:rsidP="00B56785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NO fume (vapeo, tabaco, marihuana ni drogas ilícitas) el día de su procedimiento.</w:t>
      </w:r>
    </w:p>
    <w:p w14:paraId="11A38E1D" w14:textId="77777777" w:rsidR="00B56785" w:rsidRPr="003608AD" w:rsidRDefault="00B56785" w:rsidP="00B56785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4A8FA528" w14:textId="77777777" w:rsidR="00B56785" w:rsidRPr="003608AD" w:rsidRDefault="00B56785" w:rsidP="00B56785">
      <w:pPr>
        <w:spacing w:after="0"/>
        <w:rPr>
          <w:rFonts w:ascii="Calibri" w:hAnsi="Calibri" w:cs="Calibri"/>
          <w:b/>
          <w:bCs/>
          <w:sz w:val="18"/>
          <w:szCs w:val="18"/>
          <w:lang w:val="es-ES"/>
        </w:rPr>
      </w:pP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 xml:space="preserve">DÍA ANTES DE LA COLONOSCOPIA: </w:t>
      </w:r>
    </w:p>
    <w:p w14:paraId="03BFD956" w14:textId="77777777" w:rsidR="00B56785" w:rsidRPr="003608AD" w:rsidRDefault="00B56785" w:rsidP="00B56785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 xml:space="preserve">Debe tomar solo </w:t>
      </w: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>LÍQUIDOS CLAROS</w:t>
      </w:r>
      <w:r w:rsidRPr="003608AD">
        <w:rPr>
          <w:rFonts w:ascii="Calibri" w:hAnsi="Calibri" w:cs="Calibri"/>
          <w:sz w:val="18"/>
          <w:szCs w:val="18"/>
          <w:lang w:val="es-ES"/>
        </w:rPr>
        <w:t xml:space="preserve">, evitando </w:t>
      </w: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>los LÍQUIDOS ROJOS O MORADOS</w:t>
      </w:r>
      <w:r w:rsidRPr="003608AD">
        <w:rPr>
          <w:rFonts w:ascii="Calibri" w:hAnsi="Calibri" w:cs="Calibri"/>
          <w:sz w:val="18"/>
          <w:szCs w:val="18"/>
          <w:lang w:val="es-ES"/>
        </w:rPr>
        <w:t>.  Los líquidos claros incluyen jugos sin pulpa, agua, caldo, café negro, té negro y Gatorade.</w:t>
      </w:r>
    </w:p>
    <w:p w14:paraId="720157A2" w14:textId="77777777" w:rsidR="00B56785" w:rsidRPr="003608AD" w:rsidRDefault="00B56785" w:rsidP="00B56785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Puede comer gelatina, refrescos (7-Up, Sprite, Starry, Ginger Ale) y paletas heladas siempre que no sean de color rojo o morado.</w:t>
      </w:r>
    </w:p>
    <w:p w14:paraId="388BE62D" w14:textId="77777777" w:rsidR="00B56785" w:rsidRPr="003608AD" w:rsidRDefault="00B56785" w:rsidP="00B56785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NO consuma alimentos sólidos, leche ni productos lácteos.</w:t>
      </w:r>
    </w:p>
    <w:p w14:paraId="25349DDD" w14:textId="77777777" w:rsidR="004A779A" w:rsidRPr="003608AD" w:rsidRDefault="004A779A" w:rsidP="004A779A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6C250473" w14:textId="7D7787ED" w:rsidR="004A779A" w:rsidRPr="004C4310" w:rsidRDefault="009C087D" w:rsidP="004A779A">
      <w:pPr>
        <w:spacing w:after="0"/>
        <w:ind w:firstLine="36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INSTRUCCIONES DE MIRALAX Y GATORADE</w:t>
      </w:r>
    </w:p>
    <w:p w14:paraId="3F72F9FC" w14:textId="17751B02" w:rsidR="005F57FE" w:rsidRDefault="00CC5F47" w:rsidP="00CC5F47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</w:rPr>
      </w:pPr>
      <w:r w:rsidRPr="00CC5F47">
        <w:rPr>
          <w:rFonts w:ascii="Calibri" w:hAnsi="Calibri" w:cs="Calibri"/>
          <w:b/>
          <w:bCs/>
          <w:sz w:val="18"/>
          <w:szCs w:val="18"/>
        </w:rPr>
        <w:t>Deberá comprar lo siguiente</w:t>
      </w:r>
      <w:r>
        <w:rPr>
          <w:rFonts w:ascii="Calibri" w:hAnsi="Calibri" w:cs="Calibri"/>
          <w:sz w:val="18"/>
          <w:szCs w:val="18"/>
        </w:rPr>
        <w:t>:</w:t>
      </w:r>
    </w:p>
    <w:p w14:paraId="616CB289" w14:textId="54DA8A97" w:rsidR="00CC5F47" w:rsidRPr="003608AD" w:rsidRDefault="00CC5F47" w:rsidP="00CC5F47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Un frasco (238 gramos) de Miralax en polvo.</w:t>
      </w:r>
    </w:p>
    <w:p w14:paraId="25CCB12E" w14:textId="0C01340A" w:rsidR="00CC5F47" w:rsidRPr="003608AD" w:rsidRDefault="00497B2F" w:rsidP="00CC5F47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 xml:space="preserve">Una botella de 64 onzas de Gatorade que NO SEA </w:t>
      </w:r>
      <w:r w:rsidR="00CC5F47" w:rsidRPr="003608AD">
        <w:rPr>
          <w:rFonts w:ascii="Calibri" w:hAnsi="Calibri" w:cs="Calibri"/>
          <w:b/>
          <w:bCs/>
          <w:sz w:val="18"/>
          <w:szCs w:val="18"/>
          <w:lang w:val="es-ES"/>
        </w:rPr>
        <w:t>ROJA NI MORADA</w:t>
      </w:r>
      <w:r w:rsidR="00CC5F47" w:rsidRPr="003608AD">
        <w:rPr>
          <w:rFonts w:ascii="Calibri" w:hAnsi="Calibri" w:cs="Calibri"/>
          <w:sz w:val="18"/>
          <w:szCs w:val="18"/>
          <w:lang w:val="es-ES"/>
        </w:rPr>
        <w:t xml:space="preserve"> o dos botellas (32 onzas).</w:t>
      </w:r>
    </w:p>
    <w:p w14:paraId="2A543042" w14:textId="1ECC4BA1" w:rsidR="00CC5F47" w:rsidRPr="003608AD" w:rsidRDefault="00CC5F47" w:rsidP="00CC5F47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Caja pequeña de laxantes Dulcolax de venta libre (solo necesitará 2 pastillas).</w:t>
      </w:r>
    </w:p>
    <w:p w14:paraId="68454166" w14:textId="3EBB9B00" w:rsidR="00CC5F47" w:rsidRPr="003608AD" w:rsidRDefault="00CC5F47" w:rsidP="00CC5F47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>4:00 PM</w:t>
      </w:r>
      <w:r w:rsidRPr="003608AD">
        <w:rPr>
          <w:rFonts w:ascii="Calibri" w:hAnsi="Calibri" w:cs="Calibri"/>
          <w:sz w:val="18"/>
          <w:szCs w:val="18"/>
          <w:lang w:val="es-ES"/>
        </w:rPr>
        <w:t xml:space="preserve"> – Tome 2 tabletas laxantes Dulcolax con un vaso de líquido transparente.</w:t>
      </w:r>
    </w:p>
    <w:p w14:paraId="3EA9F333" w14:textId="42D5BAEC" w:rsidR="00CC5F47" w:rsidRPr="003608AD" w:rsidRDefault="00CC5F47" w:rsidP="00CC5F47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>5:00 PM</w:t>
      </w:r>
      <w:r w:rsidRPr="003608AD">
        <w:rPr>
          <w:rFonts w:ascii="Calibri" w:hAnsi="Calibri" w:cs="Calibri"/>
          <w:sz w:val="18"/>
          <w:szCs w:val="18"/>
          <w:lang w:val="es-ES"/>
        </w:rPr>
        <w:t xml:space="preserve"> – Beba un segundo vaso de líquido transparente (1 hora desde la primera dosis).</w:t>
      </w:r>
    </w:p>
    <w:p w14:paraId="6748DEF3" w14:textId="09D01872" w:rsidR="00CC5F47" w:rsidRPr="003608AD" w:rsidRDefault="00CC5F47" w:rsidP="00CC5F47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>6:00 PM</w:t>
      </w:r>
      <w:r w:rsidRPr="003608AD">
        <w:rPr>
          <w:rFonts w:ascii="Calibri" w:hAnsi="Calibri" w:cs="Calibri"/>
          <w:sz w:val="18"/>
          <w:szCs w:val="18"/>
          <w:lang w:val="es-ES"/>
        </w:rPr>
        <w:t xml:space="preserve"> – Mezcle todo el envase de Miralax con la botella de 64 oz de Gatorade (o divida entre las 2 botellas lo más uniformemente posible, 2 horas después de la primera dosis).</w:t>
      </w:r>
    </w:p>
    <w:p w14:paraId="704C8240" w14:textId="280F7A6B" w:rsidR="00CC5F47" w:rsidRPr="003608AD" w:rsidRDefault="00CC5F47" w:rsidP="00CC5F47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Beba un vaso de 8 onzas cada 20-30 minutos hasta que se agote.</w:t>
      </w:r>
    </w:p>
    <w:p w14:paraId="24096BB3" w14:textId="6C3554C6" w:rsidR="00CC5F47" w:rsidRPr="003608AD" w:rsidRDefault="00CC5F47" w:rsidP="00CC5F47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 xml:space="preserve">Después de completar la solución, continúe bebiendo líquidos claros hasta la </w:t>
      </w: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>medianoche</w:t>
      </w:r>
      <w:r w:rsidRPr="003608AD">
        <w:rPr>
          <w:rFonts w:ascii="Calibri" w:hAnsi="Calibri" w:cs="Calibri"/>
          <w:sz w:val="18"/>
          <w:szCs w:val="18"/>
          <w:lang w:val="es-ES"/>
        </w:rPr>
        <w:t>.</w:t>
      </w:r>
    </w:p>
    <w:p w14:paraId="4147888B" w14:textId="77777777" w:rsidR="00752737" w:rsidRPr="003608AD" w:rsidRDefault="00752737" w:rsidP="005F57FE">
      <w:pPr>
        <w:spacing w:after="0"/>
        <w:ind w:left="360"/>
        <w:rPr>
          <w:rFonts w:ascii="Calibri" w:hAnsi="Calibri" w:cs="Calibri"/>
          <w:sz w:val="18"/>
          <w:szCs w:val="18"/>
          <w:lang w:val="es-ES"/>
        </w:rPr>
      </w:pPr>
    </w:p>
    <w:p w14:paraId="52DBD97C" w14:textId="227C050B" w:rsidR="004B5903" w:rsidRPr="004C4310" w:rsidRDefault="004B5903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DÍA DEL PROCEDIMIENTO:</w:t>
      </w:r>
    </w:p>
    <w:p w14:paraId="745FD3F3" w14:textId="77777777" w:rsidR="00B56785" w:rsidRPr="003608AD" w:rsidRDefault="00B56785" w:rsidP="00B5678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>No puede comer ni beber nada</w:t>
      </w:r>
      <w:r w:rsidRPr="003608AD">
        <w:rPr>
          <w:rFonts w:ascii="Calibri" w:hAnsi="Calibri" w:cs="Calibri"/>
          <w:sz w:val="18"/>
          <w:szCs w:val="18"/>
          <w:lang w:val="es-ES"/>
        </w:rPr>
        <w:t>.</w:t>
      </w:r>
    </w:p>
    <w:p w14:paraId="1B5318FA" w14:textId="77777777" w:rsidR="00B56785" w:rsidRPr="003608AD" w:rsidRDefault="00B56785" w:rsidP="00B5678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Si está tomando medicamentos para la presión arterial, convulsiones, ansiedad o dolor crónico, tómelo según las indicaciones con un pequeño sorbo de agua.</w:t>
      </w:r>
    </w:p>
    <w:p w14:paraId="5DF1E07F" w14:textId="77777777" w:rsidR="00B56785" w:rsidRPr="003608AD" w:rsidRDefault="00B56785" w:rsidP="00B5678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NO  tome pastillas para la diabetes.</w:t>
      </w:r>
    </w:p>
    <w:p w14:paraId="233E5263" w14:textId="4113C3C0" w:rsidR="00B56785" w:rsidRPr="003608AD" w:rsidRDefault="00B56785" w:rsidP="00B5678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Si está tomando insulina, disminuya su dosis en 1/2.</w:t>
      </w:r>
    </w:p>
    <w:p w14:paraId="28EB692C" w14:textId="77777777" w:rsidR="00B56785" w:rsidRPr="003608AD" w:rsidRDefault="00B56785" w:rsidP="00B5678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Si experimenta vómitos, comuníquese con el consultorio o con el médico de guardia.</w:t>
      </w:r>
    </w:p>
    <w:p w14:paraId="6A2E8237" w14:textId="77777777" w:rsidR="00B56785" w:rsidRPr="003608AD" w:rsidRDefault="00B56785" w:rsidP="00B56785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Si usa inhaladores, tráigalos con usted al EndoCentre.</w:t>
      </w:r>
    </w:p>
    <w:p w14:paraId="295A6552" w14:textId="77777777" w:rsidR="0033516D" w:rsidRPr="003608AD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02D92F27" w14:textId="2E4980B5" w:rsidR="0033516D" w:rsidRPr="003608AD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>**Recordatorio**</w:t>
      </w:r>
      <w:r w:rsidRPr="003608AD">
        <w:rPr>
          <w:rFonts w:ascii="Calibri" w:hAnsi="Calibri" w:cs="Calibri"/>
          <w:sz w:val="18"/>
          <w:szCs w:val="18"/>
          <w:lang w:val="es-ES"/>
        </w:rPr>
        <w:t xml:space="preserve"> DEBE tener a alguien que lo lleve a casa, dado que recibirá medicamentos intravenosos que lo harán sentir somnoliento.</w:t>
      </w:r>
    </w:p>
    <w:p w14:paraId="79477FAF" w14:textId="77777777" w:rsidR="00B60BAD" w:rsidRPr="003608AD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7DA68311" w14:textId="54DB6A88" w:rsidR="00B60BAD" w:rsidRPr="003608AD" w:rsidRDefault="00B60BAD" w:rsidP="00B56785">
      <w:pPr>
        <w:spacing w:after="0"/>
        <w:jc w:val="center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b/>
          <w:bCs/>
          <w:sz w:val="18"/>
          <w:szCs w:val="18"/>
          <w:lang w:val="es-ES"/>
        </w:rPr>
        <w:t>Por favor, llámenos inmediatamente si tiene alguna pregunta o inquietud.</w:t>
      </w:r>
    </w:p>
    <w:p w14:paraId="55EF0A3E" w14:textId="77777777" w:rsidR="00B60BAD" w:rsidRPr="003608AD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56797627" w14:textId="21BE606A" w:rsidR="00B60BAD" w:rsidRPr="003608AD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  <w:r w:rsidRPr="003608AD">
        <w:rPr>
          <w:rFonts w:ascii="Calibri" w:hAnsi="Calibri" w:cs="Calibri"/>
          <w:sz w:val="18"/>
          <w:szCs w:val="18"/>
          <w:lang w:val="es-ES"/>
        </w:rPr>
        <w:t>EndoCentro de Baltimore</w:t>
      </w:r>
      <w:r w:rsidRPr="003608AD">
        <w:rPr>
          <w:rFonts w:ascii="Calibri" w:hAnsi="Calibri" w:cs="Calibri"/>
          <w:sz w:val="18"/>
          <w:szCs w:val="18"/>
          <w:lang w:val="es-ES"/>
        </w:rPr>
        <w:tab/>
      </w:r>
      <w:r w:rsidRPr="003608AD">
        <w:rPr>
          <w:rFonts w:ascii="Calibri" w:hAnsi="Calibri" w:cs="Calibri"/>
          <w:sz w:val="18"/>
          <w:szCs w:val="18"/>
          <w:lang w:val="es-ES"/>
        </w:rPr>
        <w:tab/>
      </w:r>
      <w:r w:rsidR="004C4310" w:rsidRPr="003608AD">
        <w:rPr>
          <w:rFonts w:ascii="Calibri" w:hAnsi="Calibri" w:cs="Calibri"/>
          <w:sz w:val="18"/>
          <w:szCs w:val="18"/>
          <w:lang w:val="es-ES"/>
        </w:rPr>
        <w:tab/>
      </w:r>
      <w:r w:rsidRPr="003608AD">
        <w:rPr>
          <w:rFonts w:ascii="Calibri" w:hAnsi="Calibri" w:cs="Calibri"/>
          <w:sz w:val="18"/>
          <w:szCs w:val="18"/>
          <w:lang w:val="es-ES"/>
        </w:rPr>
        <w:t>EndoCentre en la estación de Quarterfield</w:t>
      </w:r>
      <w:r w:rsidRPr="003608AD">
        <w:rPr>
          <w:rFonts w:ascii="Calibri" w:hAnsi="Calibri" w:cs="Calibri"/>
          <w:sz w:val="18"/>
          <w:szCs w:val="18"/>
          <w:lang w:val="es-ES"/>
        </w:rPr>
        <w:tab/>
      </w:r>
      <w:r w:rsidRPr="003608AD">
        <w:rPr>
          <w:rFonts w:ascii="Calibri" w:hAnsi="Calibri" w:cs="Calibri"/>
          <w:sz w:val="18"/>
          <w:szCs w:val="18"/>
          <w:lang w:val="es-ES"/>
        </w:rPr>
        <w:tab/>
        <w:t>EndoCentro de Westminster</w:t>
      </w:r>
    </w:p>
    <w:p w14:paraId="5F2ECE7E" w14:textId="1F8585CC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1838 Greene Tree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7704 Camino de Quarterfield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535 Viejo Westminster Pike</w:t>
      </w:r>
    </w:p>
    <w:p w14:paraId="127DBC7F" w14:textId="606A9AEE" w:rsidR="00B60BAD" w:rsidRPr="004C4310" w:rsidRDefault="00B60BAD" w:rsidP="00B60BAD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3608AD">
        <w:rPr>
          <w:rFonts w:ascii="Calibri" w:hAnsi="Calibri" w:cs="Calibri"/>
          <w:sz w:val="18"/>
          <w:szCs w:val="18"/>
          <w:lang w:val="fr-FR"/>
        </w:rPr>
        <w:t>Suite 180</w:t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="004C4310"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>Suite A</w:t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ab/>
        <w:t>Suite 104</w:t>
      </w:r>
    </w:p>
    <w:p w14:paraId="48BEB410" w14:textId="74C682A9" w:rsidR="00B60BAD" w:rsidRPr="009C087D" w:rsidRDefault="00B60BAD" w:rsidP="004B5903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3608AD">
        <w:rPr>
          <w:rFonts w:ascii="Calibri" w:hAnsi="Calibri" w:cs="Calibri"/>
          <w:sz w:val="18"/>
          <w:szCs w:val="18"/>
          <w:lang w:val="fr-FR"/>
        </w:rPr>
        <w:lastRenderedPageBreak/>
        <w:t>Pikesville, MD 21208</w:t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="004C4310"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>Glen Burnie, MD 21061</w:t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ab/>
      </w:r>
      <w:r w:rsidRPr="003608AD">
        <w:rPr>
          <w:rFonts w:ascii="Calibri" w:hAnsi="Calibri" w:cs="Calibri"/>
          <w:sz w:val="18"/>
          <w:szCs w:val="18"/>
          <w:lang w:val="fr-FR"/>
        </w:rPr>
        <w:tab/>
        <w:t>Westminster, MD 21157</w:t>
      </w:r>
    </w:p>
    <w:p w14:paraId="0AA27D17" w14:textId="6A7AC011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Teléfono: 410-602-7782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Teléfono: 410-863-4899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Teléfono: 410-876-8332</w:t>
      </w:r>
    </w:p>
    <w:sectPr w:rsidR="00B60BAD" w:rsidRPr="004C4310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8201E"/>
    <w:multiLevelType w:val="hybridMultilevel"/>
    <w:tmpl w:val="75D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4AEF"/>
    <w:multiLevelType w:val="hybridMultilevel"/>
    <w:tmpl w:val="521E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A06F1"/>
    <w:multiLevelType w:val="hybridMultilevel"/>
    <w:tmpl w:val="2AF8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C22"/>
    <w:multiLevelType w:val="hybridMultilevel"/>
    <w:tmpl w:val="E31A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53495"/>
    <w:multiLevelType w:val="hybridMultilevel"/>
    <w:tmpl w:val="E0AE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67253"/>
    <w:multiLevelType w:val="hybridMultilevel"/>
    <w:tmpl w:val="231E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67FBE"/>
    <w:multiLevelType w:val="hybridMultilevel"/>
    <w:tmpl w:val="6D7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46932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97D8E"/>
    <w:multiLevelType w:val="hybridMultilevel"/>
    <w:tmpl w:val="303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0"/>
  </w:num>
  <w:num w:numId="2" w16cid:durableId="644286057">
    <w:abstractNumId w:val="5"/>
  </w:num>
  <w:num w:numId="3" w16cid:durableId="2030907539">
    <w:abstractNumId w:val="8"/>
  </w:num>
  <w:num w:numId="4" w16cid:durableId="712731395">
    <w:abstractNumId w:val="1"/>
  </w:num>
  <w:num w:numId="5" w16cid:durableId="1977755573">
    <w:abstractNumId w:val="2"/>
  </w:num>
  <w:num w:numId="6" w16cid:durableId="2136365011">
    <w:abstractNumId w:val="6"/>
  </w:num>
  <w:num w:numId="7" w16cid:durableId="1653102947">
    <w:abstractNumId w:val="9"/>
  </w:num>
  <w:num w:numId="8" w16cid:durableId="1308779274">
    <w:abstractNumId w:val="0"/>
  </w:num>
  <w:num w:numId="9" w16cid:durableId="1730612822">
    <w:abstractNumId w:val="7"/>
  </w:num>
  <w:num w:numId="10" w16cid:durableId="345597238">
    <w:abstractNumId w:val="11"/>
  </w:num>
  <w:num w:numId="11" w16cid:durableId="579829284">
    <w:abstractNumId w:val="3"/>
  </w:num>
  <w:num w:numId="12" w16cid:durableId="269506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0A7237"/>
    <w:rsid w:val="00117957"/>
    <w:rsid w:val="00266DC1"/>
    <w:rsid w:val="0033516D"/>
    <w:rsid w:val="003608AD"/>
    <w:rsid w:val="00370778"/>
    <w:rsid w:val="00406C36"/>
    <w:rsid w:val="0045456E"/>
    <w:rsid w:val="00497B2F"/>
    <w:rsid w:val="004A779A"/>
    <w:rsid w:val="004B5903"/>
    <w:rsid w:val="004C4310"/>
    <w:rsid w:val="005F57FE"/>
    <w:rsid w:val="006F085F"/>
    <w:rsid w:val="00752737"/>
    <w:rsid w:val="008E4C8A"/>
    <w:rsid w:val="00932CDE"/>
    <w:rsid w:val="009C087D"/>
    <w:rsid w:val="00A6370A"/>
    <w:rsid w:val="00AB231D"/>
    <w:rsid w:val="00B56785"/>
    <w:rsid w:val="00B60BAD"/>
    <w:rsid w:val="00C03045"/>
    <w:rsid w:val="00C903A1"/>
    <w:rsid w:val="00CC5F47"/>
    <w:rsid w:val="00F13F90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608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2</cp:revision>
  <dcterms:created xsi:type="dcterms:W3CDTF">2024-07-10T16:54:00Z</dcterms:created>
  <dcterms:modified xsi:type="dcterms:W3CDTF">2024-10-21T14:24:00Z</dcterms:modified>
</cp:coreProperties>
</file>